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65BA3AB6" w14:textId="4DB0F40D" w:rsidR="008709BA" w:rsidRDefault="00F816C7" w:rsidP="008709B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Ахтанизовского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bookmarkEnd w:id="0"/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XIX</w:t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Ахтанизовского сельского поселения Темрюкского района </w:t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III</w:t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31 декабря 2015 г. № 105 </w:t>
      </w:r>
      <w:r w:rsid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«Об утверждении проекта «Правил землепользования и застройки Ахтанизовского сельского поселения Темрюкского района Краснодарского края»</w:t>
      </w:r>
    </w:p>
    <w:p w14:paraId="31980D54" w14:textId="77777777" w:rsidR="008709BA" w:rsidRPr="00781015" w:rsidRDefault="008709BA" w:rsidP="008709B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BE4D5CD" w14:textId="074B7A72" w:rsidR="00F816C7" w:rsidRDefault="00F816C7" w:rsidP="008709BA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8709BA" w:rsidRPr="008709B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Ахтанизовского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ED21B7"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r w:rsidR="008709BA" w:rsidRPr="008709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XIX</w:t>
      </w:r>
      <w:r w:rsidR="008709BA" w:rsidRPr="008709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сессии Совета </w:t>
      </w:r>
      <w:bookmarkStart w:id="4" w:name="_Hlk166757690"/>
      <w:r w:rsidR="008709BA" w:rsidRPr="008709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Ахтанизовского </w:t>
      </w:r>
      <w:bookmarkEnd w:id="4"/>
      <w:r w:rsidR="008709BA" w:rsidRPr="008709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r w:rsidR="008709BA" w:rsidRPr="008709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="008709BA" w:rsidRPr="008709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созыва от 31 декабря 2015 г. № 105 «Об утверждении проекта «Правил землепользования и застройки Ахтанизовского сельского поселения Темрюкского района Краснодарского края»</w:t>
      </w:r>
      <w:r w:rsidR="008709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C6AD3A8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1) часть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I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39.1 следующего содержания:</w:t>
      </w:r>
    </w:p>
    <w:p w14:paraId="1946A9D4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«Статья 39.1. Правила перевода жилого помещения в нежилое помещение и нежилого помещения в жилое помещение</w:t>
      </w:r>
    </w:p>
    <w:p w14:paraId="46EDDCAB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E375DDF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1D18EE02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Ахтанизовского сельского поселения Темрюкского района Краснодарского края.</w:t>
      </w:r>
    </w:p>
    <w:p w14:paraId="606F8CD4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327A9382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2)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в часть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«Градостроительные регламенты»:</w:t>
      </w:r>
    </w:p>
    <w:p w14:paraId="2379AAAF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наименование зоны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Р–2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изложить в следующей редакции: </w:t>
      </w:r>
      <w:bookmarkStart w:id="5" w:name="_Hlk163745404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</w:t>
      </w:r>
      <w:bookmarkEnd w:id="5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Р–2. Зона размещения объектов физкультуры и спорта</w:t>
      </w:r>
      <w:bookmarkStart w:id="6" w:name="_Hlk166054078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»;</w:t>
      </w:r>
      <w:bookmarkEnd w:id="6"/>
    </w:p>
    <w:p w14:paraId="0D95C7DB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</w:pPr>
      <w:bookmarkStart w:id="7" w:name="_Hlk163745439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наименование зоны К-1 изложить в следующей редакции: </w:t>
      </w:r>
      <w:bookmarkEnd w:id="7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«К-1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. Зона размещения объектов курортно-рекреационного назначения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»;</w:t>
      </w:r>
    </w:p>
    <w:p w14:paraId="4620CC96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3)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в части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«Градостроительные регламенты»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 зоны Ж-1. Зона застройки индивидуальными жилыми домами, Ж-2. Зона застройки малоэтажными жилыми домами, Ж-3. Зона проектируемой застройки, ОД-2. Зона общественного центра местного значения, ОД-3. Зона размещения объектов образования, ОД-4. Зона размещения объектов здравоохранения,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  <w:t xml:space="preserve">ОД-5. Зона размещения объектов религиозного назначения, ОД-6. Зона обслуживания и деловой активности при транспортных коридорах и узлах,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  <w:t xml:space="preserve">П-2. Зона предприятий, производств и объектов II класса опасности СЗЗ-500 м, П-4. Зона предприятий, производств и объектов IV класса опасности СЗЗ-100 м, П-5. Зона предприятий, производств и объектов V класса опасности СЗЗ-50 м, СХ-1. Зона сельскохозяйственных угодий, СХ-2. Зона объектов сельскохозяйственного назначения, СХ-3. Зона садоводства, </w:t>
      </w:r>
      <w:bookmarkStart w:id="8" w:name="_Hlk164349247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И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Т-1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. Зона объектов инженерной инфраструктуры, ИТ-2. Зона объектов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автомобильного транспорта, </w:t>
      </w:r>
      <w:bookmarkEnd w:id="8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ИТ-3. Зона объектов водного транспорта,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Р–1. Зона парков, скверов, бульваров, озеленения общего пользования,</w:t>
      </w:r>
      <w:r w:rsidRPr="00D9643A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:lang w:val="x-none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Р–2. Зона </w:t>
      </w:r>
      <w:bookmarkStart w:id="9" w:name="_Hlk166053557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размещения </w:t>
      </w:r>
      <w:bookmarkEnd w:id="9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объектов физкультуры и спорта,</w:t>
      </w:r>
      <w:r w:rsidRPr="00D9643A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:lang w:val="x-none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Р-3. Зона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пляжей и набережных</w:t>
      </w:r>
      <w:r w:rsidRPr="00D9643A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:lang w:val="x-none"/>
          <w14:ligatures w14:val="none"/>
        </w:rPr>
        <w:t xml:space="preserve">,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К-1. Зона размещения объектов курортно-рекреационного назначения, К-2. Курортная зона,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СН – 1. Зона кладбищ,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ИВ-1. Зона озеленения специального назначения дополнить следующим содержанием:</w:t>
      </w:r>
    </w:p>
    <w:p w14:paraId="735580E3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323E81F9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Ахтанизовского сельского поселения Темрюкского района Краснодарского края.</w:t>
      </w:r>
    </w:p>
    <w:p w14:paraId="230CEA87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изысканий»;</w:t>
      </w:r>
    </w:p>
    <w:p w14:paraId="418DF1F1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4)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в части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«Градостроительные регламенты»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зонах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Р-3. Зона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пляжей и набережных,</w:t>
      </w:r>
      <w:bookmarkStart w:id="10" w:name="_Hlk146810195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К-1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. Зона размещения объектов курортно-рекреационного назначения</w:t>
      </w:r>
      <w:bookmarkEnd w:id="10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,</w:t>
      </w:r>
      <w:bookmarkStart w:id="11" w:name="_Hlk146810306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К-2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.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Курортная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зона</w:t>
      </w:r>
      <w:bookmarkEnd w:id="11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предельных размерах земельных участков и предельных параметрах разрешенного строительства вида разрешенного использования 9.2 «Курортная деятельность» слова «Регламенты не подлежат установлению в соответствии с ч. 4 ст. 36 Градостроительного кодекса Российской Федерации» заменить словами «Регламенты не устанавливаются»;</w:t>
      </w:r>
    </w:p>
    <w:p w14:paraId="7D878D87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5)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в части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«Градостроительные регламенты»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зонах </w:t>
      </w:r>
      <w:bookmarkStart w:id="12" w:name="_Hlk146808018"/>
      <w:bookmarkStart w:id="13" w:name="_Hlk163747058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Ж-3. Зона проектируемой застройки</w:t>
      </w:r>
      <w:bookmarkEnd w:id="12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 ОД-2.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общественного центра местного значения,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К-1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. Зона размещения объектов курортно-рекреационного назначения,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  <w:t>К-2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.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Курортная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зона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предельных размерах земельных участков и предельных параметрах разрешенного строительства </w:t>
      </w:r>
      <w:bookmarkEnd w:id="13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вида разрешенного использования земельных участков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5.2.1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«Туристическое обслуживание» дополнить следующим параметром:</w:t>
      </w:r>
    </w:p>
    <w:p w14:paraId="544D7239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«Для образованных земельных участков, в отношении которых осуществлен государственный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минимальный размер земельного участка – 300 кв. м.»;</w:t>
      </w:r>
    </w:p>
    <w:p w14:paraId="3A23CA0D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6)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в части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«Градостроительные регламенты»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зоне </w:t>
      </w:r>
      <w:bookmarkStart w:id="14" w:name="_Hlk146807982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ОД-2.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общественного центра местного значения</w:t>
      </w:r>
      <w:bookmarkEnd w:id="14"/>
      <w:r w:rsidRPr="00D9643A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:lang w:val="x-none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предельных размерах земельных участков и предельных параметрах разрешенного строительства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вида разрешенного использования земельных участков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5.2.1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«Туристическое обслуживание» параметр «</w:t>
      </w:r>
      <w:r w:rsidRPr="00D9643A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 xml:space="preserve">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ранее зарегистрированных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1000 кв. м.» изложить в следующей редакции «Для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ранее зарегистрированных в органах федеральной службы государственной регистрации, кадастра и картографии в соответствии с </w:t>
      </w:r>
      <w:r w:rsidRPr="00D9643A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lastRenderedPageBreak/>
        <w:t>действующим законодательством, минимальная площадь земельного участка – 300 кв. м.»;</w:t>
      </w:r>
    </w:p>
    <w:p w14:paraId="0A0B2A4B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7) в часть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«Градостроительные регламенты»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зоне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П–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2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. Зона предприятий, производств и объектов II класса опасности СЗЗ-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5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00 м. для видов разрешенного использования земельных участков </w:t>
      </w:r>
      <w:bookmarkStart w:id="15" w:name="_Hlk164348940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 «Недропользование»,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 «Легкая промышленность», 6.3.1 «Фармацевтическая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6.3.2 «</w:t>
      </w:r>
      <w:proofErr w:type="spellStart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Фарфоро</w:t>
      </w:r>
      <w:proofErr w:type="spellEnd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-фаянсовая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6.3.3 «Электронная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6.3.4 «Ювелирная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6.4 «Пищевая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6.6 «Строительная промышленность»,</w:t>
      </w:r>
      <w:bookmarkStart w:id="16" w:name="sub_1069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 «Склад</w:t>
      </w:r>
      <w:bookmarkEnd w:id="16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6.9.1 «Складские площадки»,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6.11 «Целлюлозно-бумажная промышленность»,</w:t>
      </w:r>
      <w:bookmarkStart w:id="17" w:name="_Hlk164348959"/>
      <w:bookmarkEnd w:id="15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6.12 «Научно-производственная деятельность»,  в зоне </w:t>
      </w:r>
      <w:bookmarkEnd w:id="17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П–4. Зона предприятий, производств и объектов IV класса опасности СЗЗ-100 м. для видов разрешенного использования земельных участков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 «Недропользование»</w:t>
      </w:r>
      <w:bookmarkStart w:id="18" w:name="_Hlk164349056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  <w:t>6.3 «Легкая промышленность», 6.3.1 «Фармацевтическая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6.3.2 «</w:t>
      </w:r>
      <w:proofErr w:type="spellStart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Фарфоро</w:t>
      </w:r>
      <w:proofErr w:type="spellEnd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-фаянсовая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6.3.3 «Электронная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6.3.4 «Ювелирная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6.4 «Пищевая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6.6 «Строительная промышленность»,</w:t>
      </w:r>
      <w:bookmarkEnd w:id="18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 «Склад»,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6.9.1 «Складские площадки»,</w:t>
      </w:r>
      <w:bookmarkStart w:id="19" w:name="_Hlk164349081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6.11 «Целлюлозно-бумажная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6.12 «Научно-производственная деятельность», в зоне</w:t>
      </w:r>
      <w:bookmarkEnd w:id="19"/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П–5. Зона предприятий, производств и объектов V класса опасности СЗЗ-50 м. для видов разрешенного использования земельных участков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 «Легкая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6.3.1 «Фармацевтическая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6.3.2 «</w:t>
      </w:r>
      <w:proofErr w:type="spellStart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Фарфоро</w:t>
      </w:r>
      <w:proofErr w:type="spellEnd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-фаянсовая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6.3.3 «Электронная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6.3.4 «Ювелирная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6.4 «Пищевая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6.6 «Строительная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6.11 «Целлюлозно-бумажная промышленность»,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6.12 «Научно-производственная деятельность», в зоне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СХ–1. Зона сельскохозяйственных угодий для вида разрешенного использования земельных участков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6.12 «Научно-производственная деятельность», в зоне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СХ–2. Зона объектов сельскохозяйственного назначения для видов разрешенного использования земельных участков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6.9.1 «Складские площадки»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6.12 «Научно-производственная деятельность», в зоне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ИТ-2. Зона объектов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автомобильного транспорта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 для видов разрешенного использования земельных участков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 «Склад»,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6.9.1 «Складские площадки» в зоне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ОД-6. Зона обслуживания и деловой активности при транспортных коридорах и узлах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для видов разрешенного использования земельных участков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 «Склад»,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6.9.1 «Складские площадки» в предельных параметрах разрешенного строительства установить максимальный процент застройки (%) – 70,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минимальный процент озеленения (%) – 15.</w:t>
      </w:r>
    </w:p>
    <w:p w14:paraId="6962435B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8) </w:t>
      </w:r>
      <w:r w:rsidRPr="00D9643A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>в</w:t>
      </w:r>
      <w:r w:rsidRPr="00D9643A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9643A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 xml:space="preserve">часть </w:t>
      </w:r>
      <w:r w:rsidRPr="00D9643A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III</w:t>
      </w:r>
      <w:r w:rsidRPr="00D9643A"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  <w:t xml:space="preserve"> «Градостроительные регламенты» в перечень основных видов разрешенного использования зоны ИТ-3. Зона объектов водного транспорта включить вид разрешенного использования земельных участков 3.9.1 «Обеспечение деятельности в области гидрометеорологии и смежных с ней областях», установив следующие предельные размеры земельных участков и предельные параметры разрешенного строительства:</w:t>
      </w:r>
    </w:p>
    <w:p w14:paraId="79BED82A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Предельные размеры земельных участков (</w:t>
      </w:r>
      <w:proofErr w:type="spellStart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min</w:t>
      </w:r>
      <w:proofErr w:type="spellEnd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/ </w:t>
      </w:r>
      <w:proofErr w:type="spellStart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max</w:t>
      </w:r>
      <w:proofErr w:type="spellEnd"/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кв. м) - 10/10 000.</w:t>
      </w:r>
    </w:p>
    <w:p w14:paraId="2977C8DB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Минимальный отступ строений от красной линии улиц (м) - не подлежит установлению.</w:t>
      </w:r>
    </w:p>
    <w:p w14:paraId="73614E4D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Минимальный отступ строений от красной линии проездов (м) -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  <w:t>не подлежит установлению.</w:t>
      </w:r>
    </w:p>
    <w:p w14:paraId="7705CA85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Минимальный отступ от границы смежного земельного участка - </w:t>
      </w: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  <w:t>не подлежит установлению.</w:t>
      </w:r>
    </w:p>
    <w:p w14:paraId="3437358C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Минимальная ширина земельных участков вдоль фронта улицы (проезда) (м) - не подлежит установлению.</w:t>
      </w:r>
    </w:p>
    <w:p w14:paraId="450DFE9F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Максимальное количество этажей объектов капитального строительства (этаж) - не подлежит установлению.</w:t>
      </w:r>
    </w:p>
    <w:p w14:paraId="44EDED88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Максимальная высота ОКС от уровня земли до верха перекрытия последнего этажа (или конька кровли) (м) - не подлежит установлению.</w:t>
      </w:r>
    </w:p>
    <w:p w14:paraId="76BE5717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Максимальный процент застройки (%) - не подлежит установлению.</w:t>
      </w:r>
    </w:p>
    <w:p w14:paraId="7F2001A4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Минимальный процент озеленения (%) - не подлежит установлению.</w:t>
      </w:r>
    </w:p>
    <w:p w14:paraId="09EBED30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Процент застройки подземной части (%) - не подлежит установлению.</w:t>
      </w:r>
    </w:p>
    <w:p w14:paraId="3AF7009C" w14:textId="77777777" w:rsidR="00D9643A" w:rsidRPr="00D9643A" w:rsidRDefault="00D9643A" w:rsidP="00D96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14:ligatures w14:val="none"/>
        </w:rPr>
      </w:pPr>
      <w:r w:rsidRPr="00D9643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КПЗ - не подлежит установлению.</w:t>
      </w:r>
    </w:p>
    <w:p w14:paraId="481CC645" w14:textId="77777777" w:rsidR="008709BA" w:rsidRDefault="008709BA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010A06" w14:textId="77777777" w:rsidR="00D9643A" w:rsidRDefault="00D9643A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2C7644"/>
    <w:rsid w:val="003075E8"/>
    <w:rsid w:val="00307FF5"/>
    <w:rsid w:val="004664A1"/>
    <w:rsid w:val="005B4C7C"/>
    <w:rsid w:val="006D4A45"/>
    <w:rsid w:val="007540E3"/>
    <w:rsid w:val="00765CFC"/>
    <w:rsid w:val="00781015"/>
    <w:rsid w:val="007A3A31"/>
    <w:rsid w:val="007B6A27"/>
    <w:rsid w:val="007F1136"/>
    <w:rsid w:val="00847E89"/>
    <w:rsid w:val="008709BA"/>
    <w:rsid w:val="008E44B3"/>
    <w:rsid w:val="008F7153"/>
    <w:rsid w:val="00A6767F"/>
    <w:rsid w:val="00B25E0F"/>
    <w:rsid w:val="00BB08D7"/>
    <w:rsid w:val="00BC13BB"/>
    <w:rsid w:val="00BE71BC"/>
    <w:rsid w:val="00CD10DD"/>
    <w:rsid w:val="00D02159"/>
    <w:rsid w:val="00D9643A"/>
    <w:rsid w:val="00E56495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1761</Words>
  <Characters>10043</Characters>
  <Application>Microsoft Office Word</Application>
  <DocSecurity>0</DocSecurity>
  <Lines>83</Lines>
  <Paragraphs>23</Paragraphs>
  <ScaleCrop>false</ScaleCrop>
  <Company/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16</cp:revision>
  <dcterms:created xsi:type="dcterms:W3CDTF">2024-05-16T07:24:00Z</dcterms:created>
  <dcterms:modified xsi:type="dcterms:W3CDTF">2024-05-16T10:20:00Z</dcterms:modified>
</cp:coreProperties>
</file>